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Layout w:type="fixed"/>
        <w:tblLook w:val="0000" w:firstRow="0" w:lastRow="0" w:firstColumn="0" w:lastColumn="0" w:noHBand="0" w:noVBand="0"/>
      </w:tblPr>
      <w:tblGrid>
        <w:gridCol w:w="3060"/>
        <w:gridCol w:w="4140"/>
        <w:gridCol w:w="3240"/>
      </w:tblGrid>
      <w:tr w:rsidR="0070639C" w:rsidRPr="0070639C" w:rsidTr="00EE0A76">
        <w:trPr>
          <w:jc w:val="center"/>
        </w:trPr>
        <w:tc>
          <w:tcPr>
            <w:tcW w:w="3060" w:type="dxa"/>
            <w:tcBorders>
              <w:top w:val="nil"/>
              <w:left w:val="nil"/>
              <w:bottom w:val="nil"/>
              <w:right w:val="nil"/>
            </w:tcBorders>
          </w:tcPr>
          <w:p w:rsidR="0070639C" w:rsidRPr="0070639C" w:rsidRDefault="000050FC" w:rsidP="0070639C">
            <w:pPr>
              <w:rPr>
                <w:rFonts w:ascii="Arial" w:hAnsi="Arial" w:cs="Arial"/>
                <w:sz w:val="20"/>
                <w:szCs w:val="20"/>
              </w:rPr>
            </w:pPr>
            <w:r>
              <w:rPr>
                <w:noProof/>
              </w:rPr>
              <w:drawing>
                <wp:inline distT="0" distB="0" distL="0" distR="0">
                  <wp:extent cx="180022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466850"/>
                          </a:xfrm>
                          <a:prstGeom prst="rect">
                            <a:avLst/>
                          </a:prstGeom>
                          <a:noFill/>
                          <a:ln>
                            <a:noFill/>
                          </a:ln>
                        </pic:spPr>
                      </pic:pic>
                    </a:graphicData>
                  </a:graphic>
                </wp:inline>
              </w:drawing>
            </w:r>
          </w:p>
          <w:p w:rsidR="0070639C" w:rsidRPr="0070639C" w:rsidRDefault="006C324E" w:rsidP="0070639C">
            <w:pPr>
              <w:rPr>
                <w:rFonts w:ascii="Arial Black" w:hAnsi="Arial Black" w:cs="Arial"/>
                <w:sz w:val="16"/>
                <w:szCs w:val="16"/>
              </w:rPr>
            </w:pPr>
            <w:r>
              <w:rPr>
                <w:rFonts w:ascii="Arial Black" w:hAnsi="Arial Black" w:cs="Arial"/>
                <w:sz w:val="16"/>
                <w:szCs w:val="16"/>
              </w:rPr>
              <w:t xml:space="preserve">         </w:t>
            </w:r>
            <w:r>
              <w:rPr>
                <w:b/>
                <w:sz w:val="20"/>
                <w:szCs w:val="20"/>
              </w:rPr>
              <w:t>Christopher M. Bourke</w:t>
            </w:r>
            <w:r w:rsidR="0070639C" w:rsidRPr="0070639C">
              <w:rPr>
                <w:rFonts w:ascii="Arial Black" w:hAnsi="Arial Black" w:cs="Arial"/>
                <w:sz w:val="16"/>
                <w:szCs w:val="16"/>
              </w:rPr>
              <w:t xml:space="preserve"> </w:t>
            </w:r>
          </w:p>
          <w:p w:rsidR="0070639C" w:rsidRPr="0070639C" w:rsidRDefault="0070639C" w:rsidP="0070639C">
            <w:pPr>
              <w:rPr>
                <w:b/>
                <w:sz w:val="20"/>
                <w:szCs w:val="20"/>
              </w:rPr>
            </w:pPr>
            <w:r w:rsidRPr="0070639C">
              <w:rPr>
                <w:rFonts w:ascii="Arial Black" w:hAnsi="Arial Black" w:cs="Arial"/>
                <w:sz w:val="16"/>
                <w:szCs w:val="16"/>
              </w:rPr>
              <w:t xml:space="preserve">            </w:t>
            </w:r>
            <w:r w:rsidRPr="0070639C">
              <w:rPr>
                <w:rFonts w:ascii="Arial Black" w:hAnsi="Arial Black" w:cs="Arial"/>
                <w:sz w:val="20"/>
                <w:szCs w:val="20"/>
              </w:rPr>
              <w:t xml:space="preserve">    </w:t>
            </w:r>
            <w:r w:rsidRPr="0070639C">
              <w:rPr>
                <w:b/>
                <w:sz w:val="20"/>
                <w:szCs w:val="20"/>
              </w:rPr>
              <w:t>SHERIFF</w:t>
            </w:r>
          </w:p>
          <w:p w:rsidR="0070639C" w:rsidRPr="000050FC" w:rsidRDefault="0070639C" w:rsidP="0070639C">
            <w:pPr>
              <w:rPr>
                <w:rFonts w:ascii="Arial Black" w:hAnsi="Arial Black"/>
                <w:color w:val="C00000"/>
                <w:sz w:val="16"/>
                <w:szCs w:val="16"/>
              </w:rPr>
            </w:pPr>
            <w:r w:rsidRPr="0070639C">
              <w:rPr>
                <w:rFonts w:ascii="Arial Black" w:hAnsi="Arial Black" w:cs="Arial"/>
                <w:sz w:val="16"/>
                <w:szCs w:val="16"/>
              </w:rPr>
              <w:t xml:space="preserve">  </w:t>
            </w:r>
            <w:hyperlink r:id="rId5" w:history="1">
              <w:r w:rsidRPr="000050FC">
                <w:rPr>
                  <w:rFonts w:ascii="Arial Black" w:hAnsi="Arial Black" w:cs="Arial"/>
                  <w:color w:val="C00000"/>
                  <w:sz w:val="16"/>
                  <w:u w:val="single"/>
                </w:rPr>
                <w:t>www.orleansny.com/sheriff</w:t>
              </w:r>
            </w:hyperlink>
            <w:r w:rsidRPr="000050FC">
              <w:rPr>
                <w:rFonts w:ascii="Arial Black" w:hAnsi="Arial Black" w:cs="Arial"/>
                <w:color w:val="C00000"/>
                <w:sz w:val="16"/>
                <w:szCs w:val="16"/>
              </w:rPr>
              <w:t xml:space="preserve"> </w:t>
            </w:r>
          </w:p>
        </w:tc>
        <w:tc>
          <w:tcPr>
            <w:tcW w:w="4140" w:type="dxa"/>
            <w:tcBorders>
              <w:top w:val="nil"/>
              <w:left w:val="nil"/>
              <w:bottom w:val="nil"/>
              <w:right w:val="nil"/>
            </w:tcBorders>
          </w:tcPr>
          <w:p w:rsidR="0070639C" w:rsidRPr="0070639C" w:rsidRDefault="002F4F45" w:rsidP="0070639C">
            <w:pPr>
              <w:jc w:val="center"/>
            </w:pPr>
            <w:r>
              <w:rPr>
                <w:rFonts w:ascii="Arial" w:hAnsi="Arial" w:cs="Arial"/>
                <w:noProof/>
                <w:sz w:val="20"/>
                <w:szCs w:val="20"/>
              </w:rPr>
              <w:drawing>
                <wp:inline distT="0" distB="0" distL="0" distR="0">
                  <wp:extent cx="1019175" cy="1000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19175" cy="1000125"/>
                          </a:xfrm>
                          <a:prstGeom prst="rect">
                            <a:avLst/>
                          </a:prstGeom>
                          <a:noFill/>
                          <a:ln w="9525">
                            <a:noFill/>
                            <a:miter lim="800000"/>
                            <a:headEnd/>
                            <a:tailEnd/>
                          </a:ln>
                        </pic:spPr>
                      </pic:pic>
                    </a:graphicData>
                  </a:graphic>
                </wp:inline>
              </w:drawing>
            </w:r>
          </w:p>
          <w:p w:rsidR="0070639C" w:rsidRPr="0070639C" w:rsidRDefault="0070639C" w:rsidP="0070639C">
            <w:pPr>
              <w:jc w:val="center"/>
              <w:rPr>
                <w:sz w:val="28"/>
                <w:szCs w:val="28"/>
              </w:rPr>
            </w:pPr>
            <w:smartTag w:uri="urn:schemas-microsoft-com:office:smarttags" w:element="place">
              <w:smartTag w:uri="urn:schemas-microsoft-com:office:smarttags" w:element="PlaceType">
                <w:r w:rsidRPr="0070639C">
                  <w:rPr>
                    <w:sz w:val="28"/>
                    <w:szCs w:val="28"/>
                  </w:rPr>
                  <w:t>COUNTY</w:t>
                </w:r>
              </w:smartTag>
              <w:r w:rsidRPr="0070639C">
                <w:rPr>
                  <w:sz w:val="28"/>
                  <w:szCs w:val="28"/>
                </w:rPr>
                <w:t xml:space="preserve"> OF </w:t>
              </w:r>
              <w:smartTag w:uri="urn:schemas-microsoft-com:office:smarttags" w:element="place">
                <w:r w:rsidRPr="0070639C">
                  <w:rPr>
                    <w:sz w:val="28"/>
                    <w:szCs w:val="28"/>
                  </w:rPr>
                  <w:t>ORLEANS</w:t>
                </w:r>
              </w:smartTag>
            </w:smartTag>
          </w:p>
          <w:p w:rsidR="0070639C" w:rsidRPr="0070639C" w:rsidRDefault="0070639C" w:rsidP="0070639C">
            <w:pPr>
              <w:keepNext/>
              <w:jc w:val="center"/>
              <w:outlineLvl w:val="0"/>
              <w:rPr>
                <w:b/>
                <w:bCs/>
              </w:rPr>
            </w:pPr>
            <w:r w:rsidRPr="0070639C">
              <w:rPr>
                <w:b/>
                <w:bCs/>
              </w:rPr>
              <w:t>Office of the Sheriff</w:t>
            </w:r>
          </w:p>
          <w:p w:rsidR="0070639C" w:rsidRPr="0070639C" w:rsidRDefault="0070639C" w:rsidP="0070639C">
            <w:pPr>
              <w:jc w:val="center"/>
            </w:pPr>
            <w:r w:rsidRPr="0070639C">
              <w:t xml:space="preserve"> 400 Public Safety Bldg.,</w:t>
            </w:r>
          </w:p>
          <w:p w:rsidR="0070639C" w:rsidRPr="0070639C" w:rsidRDefault="0070639C" w:rsidP="0070639C">
            <w:pPr>
              <w:jc w:val="center"/>
            </w:pPr>
            <w:smartTag w:uri="urn:schemas-microsoft-com:office:smarttags" w:element="place">
              <w:r w:rsidRPr="0070639C">
                <w:t>13925 State Route</w:t>
              </w:r>
            </w:smartTag>
            <w:r w:rsidRPr="0070639C">
              <w:t xml:space="preserve"> 31</w:t>
            </w:r>
          </w:p>
          <w:p w:rsidR="0070639C" w:rsidRPr="0070639C" w:rsidRDefault="0070639C" w:rsidP="0070639C">
            <w:pPr>
              <w:jc w:val="center"/>
            </w:pPr>
            <w:smartTag w:uri="urn:schemas-microsoft-com:office:smarttags" w:element="place">
              <w:smartTag w:uri="urn:schemas-microsoft-com:office:smarttags" w:element="place">
                <w:r w:rsidRPr="0070639C">
                  <w:t>Albion</w:t>
                </w:r>
              </w:smartTag>
              <w:r w:rsidRPr="0070639C">
                <w:t xml:space="preserve">, </w:t>
              </w:r>
              <w:smartTag w:uri="urn:schemas-microsoft-com:office:smarttags" w:element="place">
                <w:r w:rsidRPr="0070639C">
                  <w:t>New York</w:t>
                </w:r>
              </w:smartTag>
              <w:r w:rsidRPr="0070639C">
                <w:t xml:space="preserve"> </w:t>
              </w:r>
              <w:smartTag w:uri="urn:schemas-microsoft-com:office:smarttags" w:element="place">
                <w:r w:rsidRPr="0070639C">
                  <w:t>14411-9386</w:t>
                </w:r>
              </w:smartTag>
            </w:smartTag>
          </w:p>
        </w:tc>
        <w:tc>
          <w:tcPr>
            <w:tcW w:w="3240" w:type="dxa"/>
            <w:tcBorders>
              <w:top w:val="nil"/>
              <w:left w:val="nil"/>
              <w:bottom w:val="nil"/>
              <w:right w:val="nil"/>
            </w:tcBorders>
            <w:vAlign w:val="center"/>
          </w:tcPr>
          <w:p w:rsidR="0070639C" w:rsidRPr="0070639C" w:rsidRDefault="0070639C" w:rsidP="0070639C">
            <w:pPr>
              <w:jc w:val="center"/>
              <w:rPr>
                <w:sz w:val="20"/>
                <w:szCs w:val="20"/>
              </w:rPr>
            </w:pPr>
          </w:p>
          <w:p w:rsidR="0070639C" w:rsidRPr="0070639C" w:rsidRDefault="0070639C" w:rsidP="0070639C">
            <w:pPr>
              <w:jc w:val="center"/>
              <w:rPr>
                <w:sz w:val="20"/>
                <w:szCs w:val="20"/>
              </w:rPr>
            </w:pPr>
          </w:p>
          <w:p w:rsidR="0070639C" w:rsidRPr="0070639C" w:rsidRDefault="006C324E" w:rsidP="0070639C">
            <w:pPr>
              <w:jc w:val="center"/>
              <w:rPr>
                <w:sz w:val="20"/>
                <w:szCs w:val="20"/>
              </w:rPr>
            </w:pPr>
            <w:r>
              <w:rPr>
                <w:sz w:val="20"/>
                <w:szCs w:val="20"/>
              </w:rPr>
              <w:t>Michael C. Mele</w:t>
            </w:r>
          </w:p>
          <w:p w:rsidR="0070639C" w:rsidRPr="000050FC" w:rsidRDefault="0070639C" w:rsidP="0070639C">
            <w:pPr>
              <w:jc w:val="center"/>
              <w:rPr>
                <w:b/>
                <w:sz w:val="20"/>
                <w:szCs w:val="20"/>
                <w:u w:val="single"/>
              </w:rPr>
            </w:pPr>
            <w:r w:rsidRPr="000050FC">
              <w:rPr>
                <w:b/>
                <w:sz w:val="20"/>
                <w:szCs w:val="20"/>
                <w:u w:val="single"/>
              </w:rPr>
              <w:t>Undersheriff</w:t>
            </w:r>
          </w:p>
          <w:p w:rsidR="0070639C" w:rsidRPr="0070639C" w:rsidRDefault="0070639C" w:rsidP="0070639C">
            <w:pPr>
              <w:jc w:val="center"/>
              <w:rPr>
                <w:sz w:val="20"/>
                <w:szCs w:val="20"/>
              </w:rPr>
            </w:pPr>
          </w:p>
          <w:p w:rsidR="0070639C" w:rsidRPr="0070639C" w:rsidRDefault="006C324E" w:rsidP="0070639C">
            <w:pPr>
              <w:jc w:val="center"/>
              <w:rPr>
                <w:sz w:val="20"/>
                <w:szCs w:val="20"/>
              </w:rPr>
            </w:pPr>
            <w:r>
              <w:rPr>
                <w:sz w:val="20"/>
                <w:szCs w:val="20"/>
              </w:rPr>
              <w:t>Jeffrey A. Gifaldi</w:t>
            </w:r>
          </w:p>
          <w:p w:rsidR="0070639C" w:rsidRPr="000050FC" w:rsidRDefault="0070639C" w:rsidP="0070639C">
            <w:pPr>
              <w:jc w:val="center"/>
              <w:rPr>
                <w:b/>
                <w:sz w:val="20"/>
                <w:szCs w:val="20"/>
                <w:u w:val="single"/>
              </w:rPr>
            </w:pPr>
            <w:r w:rsidRPr="000050FC">
              <w:rPr>
                <w:b/>
                <w:sz w:val="20"/>
                <w:szCs w:val="20"/>
                <w:u w:val="single"/>
              </w:rPr>
              <w:t>Chief Deputy</w:t>
            </w:r>
          </w:p>
          <w:p w:rsidR="0070639C" w:rsidRPr="0070639C" w:rsidRDefault="0070639C" w:rsidP="0070639C">
            <w:pPr>
              <w:jc w:val="center"/>
              <w:rPr>
                <w:sz w:val="20"/>
                <w:szCs w:val="20"/>
              </w:rPr>
            </w:pPr>
          </w:p>
          <w:p w:rsidR="003F63B9" w:rsidRPr="003F63B9" w:rsidRDefault="003F63B9" w:rsidP="003F63B9">
            <w:pPr>
              <w:jc w:val="center"/>
              <w:rPr>
                <w:sz w:val="20"/>
                <w:szCs w:val="20"/>
              </w:rPr>
            </w:pPr>
            <w:r w:rsidRPr="003F63B9">
              <w:rPr>
                <w:sz w:val="20"/>
                <w:szCs w:val="20"/>
              </w:rPr>
              <w:t>Scott D. Wilson</w:t>
            </w:r>
          </w:p>
          <w:p w:rsidR="0070639C" w:rsidRPr="000050FC" w:rsidRDefault="003F63B9" w:rsidP="003F63B9">
            <w:pPr>
              <w:jc w:val="center"/>
              <w:rPr>
                <w:b/>
                <w:sz w:val="20"/>
                <w:szCs w:val="20"/>
                <w:u w:val="single"/>
              </w:rPr>
            </w:pPr>
            <w:r w:rsidRPr="000050FC">
              <w:rPr>
                <w:b/>
                <w:sz w:val="20"/>
                <w:szCs w:val="20"/>
                <w:u w:val="single"/>
              </w:rPr>
              <w:t>Jail Superintendent</w:t>
            </w:r>
          </w:p>
        </w:tc>
      </w:tr>
      <w:tr w:rsidR="0070639C" w:rsidRPr="0070639C" w:rsidTr="00EE0A76">
        <w:trPr>
          <w:jc w:val="center"/>
        </w:trPr>
        <w:tc>
          <w:tcPr>
            <w:tcW w:w="3060" w:type="dxa"/>
            <w:tcBorders>
              <w:top w:val="nil"/>
              <w:left w:val="nil"/>
              <w:bottom w:val="nil"/>
              <w:right w:val="nil"/>
            </w:tcBorders>
          </w:tcPr>
          <w:p w:rsidR="0070639C" w:rsidRPr="0070639C" w:rsidRDefault="0070639C" w:rsidP="0070639C"/>
          <w:p w:rsidR="0070639C" w:rsidRPr="0070639C" w:rsidRDefault="0070639C" w:rsidP="0070639C"/>
          <w:p w:rsidR="0070639C" w:rsidRPr="0070639C" w:rsidRDefault="0070639C" w:rsidP="0070639C">
            <w:r w:rsidRPr="0070639C">
              <w:t xml:space="preserve"> </w:t>
            </w:r>
          </w:p>
        </w:tc>
        <w:tc>
          <w:tcPr>
            <w:tcW w:w="4140" w:type="dxa"/>
            <w:tcBorders>
              <w:top w:val="nil"/>
              <w:left w:val="nil"/>
              <w:bottom w:val="nil"/>
              <w:right w:val="nil"/>
            </w:tcBorders>
          </w:tcPr>
          <w:p w:rsidR="0070639C" w:rsidRPr="0070639C" w:rsidRDefault="0070639C" w:rsidP="0070639C">
            <w:pPr>
              <w:jc w:val="center"/>
              <w:rPr>
                <w:sz w:val="20"/>
                <w:szCs w:val="20"/>
              </w:rPr>
            </w:pPr>
            <w:r w:rsidRPr="0070639C">
              <w:rPr>
                <w:sz w:val="20"/>
                <w:szCs w:val="20"/>
              </w:rPr>
              <w:t>Communications – (585) 589-5527</w:t>
            </w:r>
          </w:p>
          <w:p w:rsidR="0070639C" w:rsidRPr="0070639C" w:rsidRDefault="0070639C" w:rsidP="0070639C">
            <w:pPr>
              <w:jc w:val="center"/>
              <w:rPr>
                <w:sz w:val="20"/>
                <w:szCs w:val="20"/>
              </w:rPr>
            </w:pPr>
            <w:r w:rsidRPr="0070639C">
              <w:rPr>
                <w:sz w:val="20"/>
                <w:szCs w:val="20"/>
              </w:rPr>
              <w:t>Fax – (585) 589-6761</w:t>
            </w:r>
          </w:p>
          <w:p w:rsidR="0070639C" w:rsidRPr="0070639C" w:rsidRDefault="0070639C" w:rsidP="0070639C">
            <w:pPr>
              <w:jc w:val="center"/>
              <w:rPr>
                <w:sz w:val="20"/>
                <w:szCs w:val="20"/>
              </w:rPr>
            </w:pPr>
            <w:r w:rsidRPr="0070639C">
              <w:rPr>
                <w:sz w:val="20"/>
                <w:szCs w:val="20"/>
              </w:rPr>
              <w:t>Administrative Offices – (585) 590-4142</w:t>
            </w:r>
          </w:p>
          <w:p w:rsidR="0070639C" w:rsidRPr="0070639C" w:rsidRDefault="0070639C" w:rsidP="0070639C">
            <w:pPr>
              <w:jc w:val="center"/>
              <w:rPr>
                <w:sz w:val="20"/>
                <w:szCs w:val="20"/>
              </w:rPr>
            </w:pPr>
            <w:r w:rsidRPr="0070639C">
              <w:rPr>
                <w:sz w:val="20"/>
                <w:szCs w:val="20"/>
              </w:rPr>
              <w:t>Fax – (585) 590-4178</w:t>
            </w:r>
          </w:p>
          <w:p w:rsidR="0070639C" w:rsidRPr="0070639C" w:rsidRDefault="0070639C" w:rsidP="0070639C">
            <w:pPr>
              <w:jc w:val="center"/>
              <w:rPr>
                <w:sz w:val="20"/>
                <w:szCs w:val="20"/>
              </w:rPr>
            </w:pPr>
            <w:smartTag w:uri="urn:schemas-microsoft-com:office:smarttags" w:element="place">
              <w:smartTag w:uri="urn:schemas-microsoft-com:office:smarttags" w:element="place">
                <w:r w:rsidRPr="0070639C">
                  <w:rPr>
                    <w:sz w:val="20"/>
                    <w:szCs w:val="20"/>
                  </w:rPr>
                  <w:t>County</w:t>
                </w:r>
              </w:smartTag>
              <w:r w:rsidRPr="0070639C">
                <w:rPr>
                  <w:sz w:val="20"/>
                  <w:szCs w:val="20"/>
                </w:rPr>
                <w:t xml:space="preserve"> </w:t>
              </w:r>
              <w:smartTag w:uri="urn:schemas-microsoft-com:office:smarttags" w:element="place">
                <w:r w:rsidRPr="0070639C">
                  <w:rPr>
                    <w:sz w:val="20"/>
                    <w:szCs w:val="20"/>
                  </w:rPr>
                  <w:t>Jail</w:t>
                </w:r>
              </w:smartTag>
            </w:smartTag>
            <w:r w:rsidRPr="0070639C">
              <w:rPr>
                <w:sz w:val="20"/>
                <w:szCs w:val="20"/>
              </w:rPr>
              <w:t xml:space="preserve"> – (585) 589-4310</w:t>
            </w:r>
          </w:p>
          <w:p w:rsidR="0070639C" w:rsidRPr="0070639C" w:rsidRDefault="0070639C" w:rsidP="0070639C">
            <w:pPr>
              <w:jc w:val="center"/>
              <w:rPr>
                <w:sz w:val="20"/>
                <w:szCs w:val="20"/>
              </w:rPr>
            </w:pPr>
            <w:r w:rsidRPr="0070639C">
              <w:rPr>
                <w:sz w:val="20"/>
                <w:szCs w:val="20"/>
              </w:rPr>
              <w:t>Fax – (585) 589-2522</w:t>
            </w:r>
          </w:p>
          <w:p w:rsidR="0070639C" w:rsidRPr="0070639C" w:rsidRDefault="0070639C" w:rsidP="0070639C">
            <w:pPr>
              <w:jc w:val="center"/>
              <w:rPr>
                <w:sz w:val="20"/>
                <w:szCs w:val="20"/>
              </w:rPr>
            </w:pPr>
          </w:p>
        </w:tc>
        <w:tc>
          <w:tcPr>
            <w:tcW w:w="3240" w:type="dxa"/>
            <w:tcBorders>
              <w:top w:val="nil"/>
              <w:left w:val="nil"/>
              <w:bottom w:val="nil"/>
              <w:right w:val="nil"/>
            </w:tcBorders>
          </w:tcPr>
          <w:p w:rsidR="0070639C" w:rsidRPr="0070639C" w:rsidRDefault="0070639C" w:rsidP="0070639C"/>
          <w:p w:rsidR="0070639C" w:rsidRPr="0070639C" w:rsidRDefault="0070639C" w:rsidP="0070639C"/>
        </w:tc>
      </w:tr>
    </w:tbl>
    <w:p w:rsidR="00026BB5" w:rsidRDefault="00026BB5" w:rsidP="000050FC">
      <w:pPr>
        <w:pStyle w:val="Heading2"/>
        <w:rPr>
          <w:rFonts w:ascii="Arial Black" w:hAnsi="Arial Black"/>
          <w:sz w:val="20"/>
          <w:szCs w:val="20"/>
        </w:rPr>
      </w:pPr>
    </w:p>
    <w:p w:rsidR="008179C9" w:rsidRPr="008179C9" w:rsidRDefault="008179C9" w:rsidP="008179C9">
      <w:pPr>
        <w:rPr>
          <w:sz w:val="28"/>
          <w:szCs w:val="28"/>
        </w:rPr>
      </w:pPr>
      <w:r w:rsidRPr="008179C9">
        <w:rPr>
          <w:sz w:val="28"/>
          <w:szCs w:val="28"/>
        </w:rPr>
        <w:t>On June 12, 2020, Governor Andrew Cuomo issued Executive Order No. 203 requiring each local government in New York State to adopt a policing reform plan by April 1, 2021. The Order authorizes the Director of the Division of the Budget to condition State aid to localities on the adoption of such a plan.</w:t>
      </w:r>
    </w:p>
    <w:p w:rsidR="008179C9" w:rsidRDefault="008179C9" w:rsidP="008179C9">
      <w:pPr>
        <w:rPr>
          <w:sz w:val="28"/>
          <w:szCs w:val="28"/>
        </w:rPr>
      </w:pPr>
    </w:p>
    <w:p w:rsidR="008179C9" w:rsidRPr="008179C9" w:rsidRDefault="008179C9" w:rsidP="008179C9">
      <w:pPr>
        <w:rPr>
          <w:sz w:val="28"/>
          <w:szCs w:val="28"/>
        </w:rPr>
      </w:pPr>
      <w:r w:rsidRPr="008179C9">
        <w:rPr>
          <w:sz w:val="28"/>
          <w:szCs w:val="28"/>
        </w:rPr>
        <w:t xml:space="preserve">The New York State Police Reform and Reinvention Collaborative asks all local police agencies to actively engage with stakeholders in the local community and have locally-approved plans for the strategies, policies and procedures of local police agencies. The plan must include the appropriate role of the police, but allow the police to do their jobs to protect the public. The </w:t>
      </w:r>
      <w:r w:rsidRPr="008179C9">
        <w:rPr>
          <w:sz w:val="28"/>
          <w:szCs w:val="28"/>
        </w:rPr>
        <w:t>Orleans</w:t>
      </w:r>
      <w:r w:rsidRPr="008179C9">
        <w:rPr>
          <w:sz w:val="28"/>
          <w:szCs w:val="28"/>
        </w:rPr>
        <w:t xml:space="preserve"> County Sheriff’s Office has put together a committee to help draft the plan. </w:t>
      </w:r>
    </w:p>
    <w:p w:rsidR="008179C9" w:rsidRDefault="008179C9" w:rsidP="008179C9">
      <w:pPr>
        <w:rPr>
          <w:sz w:val="28"/>
          <w:szCs w:val="28"/>
        </w:rPr>
      </w:pPr>
    </w:p>
    <w:p w:rsidR="008179C9" w:rsidRPr="008179C9" w:rsidRDefault="008179C9" w:rsidP="008179C9">
      <w:pPr>
        <w:rPr>
          <w:sz w:val="28"/>
          <w:szCs w:val="28"/>
        </w:rPr>
      </w:pPr>
      <w:bookmarkStart w:id="0" w:name="_GoBack"/>
      <w:bookmarkEnd w:id="0"/>
      <w:r w:rsidRPr="008179C9">
        <w:rPr>
          <w:sz w:val="28"/>
          <w:szCs w:val="28"/>
        </w:rPr>
        <w:t xml:space="preserve">Now, we are asking for public comment so that we can learn from the community as we review the current perspective of their relationship with the </w:t>
      </w:r>
      <w:r w:rsidRPr="008179C9">
        <w:rPr>
          <w:sz w:val="28"/>
          <w:szCs w:val="28"/>
        </w:rPr>
        <w:t>Orleans</w:t>
      </w:r>
      <w:r w:rsidRPr="008179C9">
        <w:rPr>
          <w:sz w:val="28"/>
          <w:szCs w:val="28"/>
        </w:rPr>
        <w:t xml:space="preserve"> County Sheriff’s Office. The public comment period is open until </w:t>
      </w:r>
      <w:r w:rsidRPr="008179C9">
        <w:rPr>
          <w:sz w:val="28"/>
          <w:szCs w:val="28"/>
        </w:rPr>
        <w:t>February 10, 2021</w:t>
      </w:r>
      <w:r w:rsidRPr="008179C9">
        <w:rPr>
          <w:sz w:val="28"/>
          <w:szCs w:val="28"/>
        </w:rPr>
        <w:t xml:space="preserve">. The comments will assist the Sheriff’s Office and the committee with drafting their plan. Please either comment by using </w:t>
      </w:r>
      <w:r w:rsidRPr="008179C9">
        <w:rPr>
          <w:sz w:val="28"/>
          <w:szCs w:val="28"/>
        </w:rPr>
        <w:t>the</w:t>
      </w:r>
      <w:r w:rsidRPr="008179C9">
        <w:rPr>
          <w:sz w:val="28"/>
          <w:szCs w:val="28"/>
        </w:rPr>
        <w:t xml:space="preserve"> online form or mail in your comments to:</w:t>
      </w:r>
    </w:p>
    <w:p w:rsidR="008179C9" w:rsidRPr="008179C9" w:rsidRDefault="008179C9" w:rsidP="008179C9">
      <w:pPr>
        <w:rPr>
          <w:sz w:val="28"/>
          <w:szCs w:val="28"/>
        </w:rPr>
      </w:pPr>
      <w:r w:rsidRPr="008179C9">
        <w:rPr>
          <w:sz w:val="28"/>
          <w:szCs w:val="28"/>
        </w:rPr>
        <w:t>Orleans County Sheriff’s Office</w:t>
      </w:r>
    </w:p>
    <w:p w:rsidR="008179C9" w:rsidRPr="008179C9" w:rsidRDefault="008179C9" w:rsidP="008179C9">
      <w:pPr>
        <w:rPr>
          <w:sz w:val="28"/>
          <w:szCs w:val="28"/>
        </w:rPr>
      </w:pPr>
      <w:r w:rsidRPr="008179C9">
        <w:rPr>
          <w:sz w:val="28"/>
          <w:szCs w:val="28"/>
        </w:rPr>
        <w:t>13925 State Route 31</w:t>
      </w:r>
    </w:p>
    <w:p w:rsidR="008179C9" w:rsidRPr="008179C9" w:rsidRDefault="008179C9" w:rsidP="008179C9">
      <w:pPr>
        <w:rPr>
          <w:sz w:val="28"/>
          <w:szCs w:val="28"/>
        </w:rPr>
      </w:pPr>
      <w:r w:rsidRPr="008179C9">
        <w:rPr>
          <w:sz w:val="28"/>
          <w:szCs w:val="28"/>
        </w:rPr>
        <w:t>Albion NY 14411</w:t>
      </w:r>
    </w:p>
    <w:sectPr w:rsidR="008179C9" w:rsidRPr="008179C9" w:rsidSect="00C020B8">
      <w:pgSz w:w="12240" w:h="15840"/>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FC"/>
    <w:rsid w:val="000050FC"/>
    <w:rsid w:val="00026BB5"/>
    <w:rsid w:val="00094B72"/>
    <w:rsid w:val="00127A90"/>
    <w:rsid w:val="00133048"/>
    <w:rsid w:val="001362E5"/>
    <w:rsid w:val="00147A0A"/>
    <w:rsid w:val="001B7B27"/>
    <w:rsid w:val="001E6B38"/>
    <w:rsid w:val="00217AF1"/>
    <w:rsid w:val="00226F51"/>
    <w:rsid w:val="0024499F"/>
    <w:rsid w:val="00290491"/>
    <w:rsid w:val="002F4F45"/>
    <w:rsid w:val="002F6916"/>
    <w:rsid w:val="003C6017"/>
    <w:rsid w:val="003F63B9"/>
    <w:rsid w:val="004123A7"/>
    <w:rsid w:val="00441E72"/>
    <w:rsid w:val="00483A37"/>
    <w:rsid w:val="00493719"/>
    <w:rsid w:val="004A17CB"/>
    <w:rsid w:val="004D0A9D"/>
    <w:rsid w:val="006C324E"/>
    <w:rsid w:val="006E72A4"/>
    <w:rsid w:val="0070639C"/>
    <w:rsid w:val="007708AA"/>
    <w:rsid w:val="007D3402"/>
    <w:rsid w:val="008179C9"/>
    <w:rsid w:val="00850351"/>
    <w:rsid w:val="00857F52"/>
    <w:rsid w:val="00912342"/>
    <w:rsid w:val="0092413E"/>
    <w:rsid w:val="009E19F0"/>
    <w:rsid w:val="00A118E3"/>
    <w:rsid w:val="00A20A2B"/>
    <w:rsid w:val="00A723F6"/>
    <w:rsid w:val="00AA0178"/>
    <w:rsid w:val="00AA7C9B"/>
    <w:rsid w:val="00AD1BDA"/>
    <w:rsid w:val="00AF35DF"/>
    <w:rsid w:val="00B02CE3"/>
    <w:rsid w:val="00B51818"/>
    <w:rsid w:val="00B7006B"/>
    <w:rsid w:val="00C020B8"/>
    <w:rsid w:val="00D8453D"/>
    <w:rsid w:val="00E20595"/>
    <w:rsid w:val="00EA51BB"/>
    <w:rsid w:val="00EC49CB"/>
    <w:rsid w:val="00EC68CD"/>
    <w:rsid w:val="00EE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8288BD4"/>
  <w15:docId w15:val="{9768C791-3B10-4AA7-9A60-8744C88C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nhideWhenUsed/>
    <w:qFormat/>
    <w:locked/>
    <w:rsid w:val="00C020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1362E5"/>
    <w:rPr>
      <w:rFonts w:cs="Times New Roman"/>
      <w:color w:val="0000FF"/>
      <w:u w:val="single"/>
    </w:rPr>
  </w:style>
  <w:style w:type="character" w:customStyle="1" w:styleId="Heading2Char">
    <w:name w:val="Heading 2 Char"/>
    <w:link w:val="Heading2"/>
    <w:rsid w:val="00C020B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orleansny.com/sheriff"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gov.lan\shared\OCPS\Sheriff\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0</TotalTime>
  <Pages>1</Pages>
  <Words>265</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Report</vt:lpstr>
    </vt:vector>
  </TitlesOfParts>
  <Company>Orleans County Sheriff's Office</Company>
  <LinksUpToDate>false</LinksUpToDate>
  <CharactersWithSpaces>1769</CharactersWithSpaces>
  <SharedDoc>false</SharedDoc>
  <HLinks>
    <vt:vector size="6" baseType="variant">
      <vt:variant>
        <vt:i4>5505109</vt:i4>
      </vt:variant>
      <vt:variant>
        <vt:i4>3</vt:i4>
      </vt:variant>
      <vt:variant>
        <vt:i4>0</vt:i4>
      </vt:variant>
      <vt:variant>
        <vt:i4>5</vt:i4>
      </vt:variant>
      <vt:variant>
        <vt:lpwstr>http://www.orleansny.com/sheriff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dc:title>
  <dc:creator>Papalia, Julie</dc:creator>
  <cp:keywords>Special Report</cp:keywords>
  <cp:lastModifiedBy>Gifaldi, Jeffrey</cp:lastModifiedBy>
  <cp:revision>2</cp:revision>
  <cp:lastPrinted>2008-04-30T16:44:00Z</cp:lastPrinted>
  <dcterms:created xsi:type="dcterms:W3CDTF">2021-01-26T13:57:00Z</dcterms:created>
  <dcterms:modified xsi:type="dcterms:W3CDTF">2021-01-26T13:57:00Z</dcterms:modified>
  <cp:contentStatus>Final</cp:contentStatus>
</cp:coreProperties>
</file>